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1942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26 </w:t>
      </w:r>
      <w:r>
        <w:rPr>
          <w:rFonts w:ascii="Times New Roman" w:eastAsia="Times New Roman" w:hAnsi="Times New Roman" w:cs="Times New Roman"/>
          <w:sz w:val="25"/>
          <w:szCs w:val="25"/>
        </w:rPr>
        <w:t>ноября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5"/>
          <w:szCs w:val="25"/>
        </w:rPr>
        <w:t>номного округа – Югры Зиннурова Т.И.</w:t>
      </w:r>
      <w:r>
        <w:rPr>
          <w:rFonts w:ascii="Times New Roman" w:eastAsia="Times New Roman" w:hAnsi="Times New Roman" w:cs="Times New Roman"/>
          <w:sz w:val="25"/>
          <w:szCs w:val="25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509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Михаила Рудольфовича, </w:t>
      </w:r>
      <w:r>
        <w:rPr>
          <w:rStyle w:val="cat-UserDefinedgrp-40rplc-8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Шмелёв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директором </w:t>
      </w:r>
      <w:r>
        <w:rPr>
          <w:rStyle w:val="cat-UserDefinedgrp-4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находящегося по адресу: </w:t>
      </w:r>
      <w:r>
        <w:rPr>
          <w:rStyle w:val="cat-UserDefinedgrp-42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лица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5"/>
          <w:szCs w:val="25"/>
        </w:rPr>
        <w:t>№ ЕФС-1-325-</w:t>
      </w:r>
      <w:r>
        <w:rPr>
          <w:rFonts w:ascii="Times New Roman" w:eastAsia="Times New Roman" w:hAnsi="Times New Roman" w:cs="Times New Roman"/>
          <w:sz w:val="25"/>
          <w:szCs w:val="25"/>
        </w:rPr>
        <w:t>008852370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застрахованн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выявлено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tbl>
      <w:tblPr>
        <w:tblW w:w="102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855"/>
        <w:gridCol w:w="1619"/>
        <w:gridCol w:w="2443"/>
        <w:gridCol w:w="3476"/>
      </w:tblGrid>
      <w:tr>
        <w:tblPrEx>
          <w:tblW w:w="102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п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СНИЛС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Код КМ ДГПХ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окончания договора ГПХ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и время совершения правонарушения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104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279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722 46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ГПХ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.08.2025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.08.2025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104-279-722 46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Начало ГПХ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08.08.2025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12.08.2025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Шмелёв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>
        <w:rPr>
          <w:rFonts w:ascii="Times New Roman" w:eastAsia="Times New Roman" w:hAnsi="Times New Roman" w:cs="Times New Roman"/>
          <w:sz w:val="25"/>
          <w:szCs w:val="25"/>
        </w:rPr>
        <w:t>Шмелёв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4406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 </w:t>
      </w:r>
      <w:r>
        <w:rPr>
          <w:rFonts w:ascii="Times New Roman" w:eastAsia="Times New Roman" w:hAnsi="Times New Roman" w:cs="Times New Roman"/>
          <w:sz w:val="25"/>
          <w:szCs w:val="25"/>
        </w:rPr>
        <w:t>акт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5 п.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Михаила Рудольфовича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Банк получателя РКЦ г. Ханты-Мансийска г. Ханты-Мансийск, Получатель: УФК по Ханты-Мансийскому автономному округу - Югре (ОСФР по Ханты-Мансийскому автономному округу–Югре, л/с 04874Ф87010)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номер счета банка получателя (номер банковского счета, входящего в состав 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ОКТМО 71876000 (город Сургут), счет получателя платежа (номер казначейского счета Р/счет)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КБК 79711601230060001140 - уплата штрафа по административному правонарушению, предусмотренному ч. 1 ст. 15.33.2 КоАП.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УИН 79702</w:t>
      </w:r>
      <w:r>
        <w:rPr>
          <w:rFonts w:ascii="Times New Roman" w:eastAsia="Times New Roman" w:hAnsi="Times New Roman" w:cs="Times New Roman"/>
          <w:sz w:val="25"/>
          <w:szCs w:val="25"/>
        </w:rPr>
        <w:t>700000000</w:t>
      </w:r>
      <w:r>
        <w:rPr>
          <w:rFonts w:ascii="Times New Roman" w:eastAsia="Times New Roman" w:hAnsi="Times New Roman" w:cs="Times New Roman"/>
          <w:sz w:val="25"/>
          <w:szCs w:val="25"/>
        </w:rPr>
        <w:t>329036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дома 9 по ул. Гагарина г. Сургута.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Либо на электронную почту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Surgut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11@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mirsud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86.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ru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КОПИЯ ВЕРНА «26» ноября 2025 г.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11 Сургутского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05-194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/2611/2025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41rplc-17">
    <w:name w:val="cat-UserDefined grp-41 rplc-17"/>
    <w:basedOn w:val="DefaultParagraphFont"/>
  </w:style>
  <w:style w:type="character" w:customStyle="1" w:styleId="cat-UserDefinedgrp-42rplc-18">
    <w:name w:val="cat-UserDefined grp-4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